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A101F1">
        <w:t>049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AD5B06" w:rsidRPr="0042354B">
        <w:rPr>
          <w:b/>
        </w:rPr>
        <w:t>NILZO LOPES DO AMARAL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783CA9" w:rsidRDefault="00B43DA5" w:rsidP="00783CA9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783CA9">
        <w:t xml:space="preserve"> </w:t>
      </w:r>
      <w:bookmarkStart w:id="0" w:name="_GoBack"/>
      <w:bookmarkEnd w:id="0"/>
      <w:r w:rsidR="00E20496">
        <w:t>Rua Dois de Julho</w:t>
      </w:r>
      <w:r w:rsidR="00DE2A6C">
        <w:t xml:space="preserve">, </w:t>
      </w:r>
      <w:r w:rsidR="00E20496">
        <w:t>s/</w:t>
      </w:r>
      <w:r w:rsidR="00DE2A6C">
        <w:t>nº</w:t>
      </w:r>
      <w:r w:rsidR="00E20496">
        <w:t xml:space="preserve">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4814F1">
        <w:t xml:space="preserve">, e do outro lado </w:t>
      </w:r>
      <w:r w:rsidR="001F06CD">
        <w:t>o</w:t>
      </w:r>
      <w:r w:rsidR="00607D9F">
        <w:t xml:space="preserve"> </w:t>
      </w:r>
      <w:r w:rsidR="00500FE7">
        <w:t xml:space="preserve">Sr. </w:t>
      </w:r>
      <w:r w:rsidR="00AD5B06" w:rsidRPr="0042354B">
        <w:rPr>
          <w:b/>
        </w:rPr>
        <w:t>NILZO LOPES DO AMARAL</w:t>
      </w:r>
      <w:r w:rsidR="00AD5B06">
        <w:t>, inscrito no CPF</w:t>
      </w:r>
      <w:r w:rsidR="00AD5B06" w:rsidRPr="007C2FD8">
        <w:t xml:space="preserve"> n°</w:t>
      </w:r>
      <w:r w:rsidR="00AD5B06">
        <w:t xml:space="preserve"> 320.317.265-87</w:t>
      </w:r>
      <w:r w:rsidR="00DE2A6C">
        <w:t>,</w:t>
      </w:r>
      <w:r w:rsidR="00E64648">
        <w:t xml:space="preserve"> </w:t>
      </w:r>
      <w:r w:rsidR="00E20496">
        <w:t xml:space="preserve">RG </w:t>
      </w:r>
      <w:r>
        <w:t>nº</w:t>
      </w:r>
      <w:r>
        <w:rPr>
          <w:spacing w:val="13"/>
        </w:rPr>
        <w:t xml:space="preserve"> </w:t>
      </w:r>
      <w:r w:rsidR="00DA20D3">
        <w:t>05.901.404-00 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</w:t>
      </w:r>
      <w:r w:rsidR="00DA20D3">
        <w:t>o</w:t>
      </w:r>
      <w:r>
        <w:rPr>
          <w:spacing w:val="10"/>
        </w:rPr>
        <w:t xml:space="preserve"> </w:t>
      </w:r>
      <w:r w:rsidR="00DA20D3">
        <w:t>Povoado de Cambaitó</w:t>
      </w:r>
      <w:r>
        <w:t>,</w:t>
      </w:r>
      <w:r>
        <w:rPr>
          <w:spacing w:val="11"/>
        </w:rPr>
        <w:t xml:space="preserve"> </w:t>
      </w:r>
      <w:r w:rsidR="00DA20D3">
        <w:rPr>
          <w:spacing w:val="11"/>
        </w:rPr>
        <w:t>s/</w:t>
      </w:r>
      <w:r>
        <w:t>nº</w:t>
      </w:r>
      <w:r w:rsidR="00DA20D3">
        <w:t xml:space="preserve">, </w:t>
      </w:r>
      <w:r>
        <w:t xml:space="preserve">Bairro </w:t>
      </w:r>
      <w:r w:rsidR="00DA20D3">
        <w:t xml:space="preserve">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DA20D3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t>A</w:t>
      </w:r>
      <w:r w:rsidR="00B43DA5" w:rsidRPr="00B46ED3">
        <w:t xml:space="preserve"> con</w:t>
      </w:r>
      <w:r w:rsidR="00B43DA5" w:rsidRPr="00A636BF">
        <w:t>tratad</w:t>
      </w:r>
      <w:r w:rsidRPr="00A636BF">
        <w:t xml:space="preserve">a </w:t>
      </w:r>
      <w:r w:rsidR="00B43DA5" w:rsidRPr="00A636BF">
        <w:t>acima descrito</w:t>
      </w:r>
      <w:proofErr w:type="gramEnd"/>
      <w:r w:rsidR="00B43DA5" w:rsidRPr="00A636BF">
        <w:t xml:space="preserve"> fornecerá o </w:t>
      </w:r>
      <w:r w:rsidRPr="00A636BF">
        <w:t xml:space="preserve">veículo </w:t>
      </w:r>
      <w:r w:rsidR="00AD5B06" w:rsidRPr="00A636BF">
        <w:t>ÔNIBUS</w:t>
      </w:r>
      <w:r w:rsidR="00B43DA5" w:rsidRPr="00A636BF">
        <w:t xml:space="preserve">, de placa policial </w:t>
      </w:r>
      <w:r w:rsidR="00A636BF">
        <w:t>BWO 9902/SP</w:t>
      </w:r>
      <w:r w:rsidR="00B43DA5" w:rsidRPr="00A636BF">
        <w:t xml:space="preserve">, </w:t>
      </w:r>
      <w:proofErr w:type="spellStart"/>
      <w:r w:rsidR="00B43DA5" w:rsidRPr="00A636BF">
        <w:t>Renavan</w:t>
      </w:r>
      <w:proofErr w:type="spellEnd"/>
      <w:r w:rsidR="00B43DA5" w:rsidRPr="00A636BF">
        <w:t xml:space="preserve"> sob nº </w:t>
      </w:r>
      <w:r w:rsidR="00A636BF">
        <w:t>00864741111</w:t>
      </w:r>
      <w:r w:rsidR="00B43DA5" w:rsidRPr="00A636BF">
        <w:t xml:space="preserve"> que deverá transportar a quantidade diária de </w:t>
      </w:r>
      <w:r w:rsidR="00AD5B06" w:rsidRPr="00A636BF">
        <w:t>76</w:t>
      </w:r>
      <w:r w:rsidRPr="00A636BF">
        <w:t xml:space="preserve"> </w:t>
      </w:r>
      <w:r w:rsidR="00B43DA5" w:rsidRPr="00A636BF">
        <w:t xml:space="preserve">alunos referente à linha </w:t>
      </w:r>
      <w:r w:rsidR="00C7355C" w:rsidRPr="00A636BF">
        <w:t>d</w:t>
      </w:r>
      <w:r w:rsidR="00AD5B06" w:rsidRPr="00A636BF">
        <w:t>o</w:t>
      </w:r>
      <w:r w:rsidR="006B3CF8" w:rsidRPr="00A636BF">
        <w:t xml:space="preserve"> </w:t>
      </w:r>
      <w:r w:rsidR="00AD5B06" w:rsidRPr="00A636BF">
        <w:rPr>
          <w:rFonts w:eastAsia="Times New Roman"/>
          <w:color w:val="000000"/>
        </w:rPr>
        <w:t xml:space="preserve">Olho D'Água da Serra / Ingazeira / capela de Ingazeira / Cambaitó / Riacho da </w:t>
      </w:r>
      <w:proofErr w:type="spellStart"/>
      <w:r w:rsidR="00AD5B06" w:rsidRPr="00A636BF">
        <w:rPr>
          <w:rFonts w:eastAsia="Times New Roman"/>
          <w:color w:val="000000"/>
        </w:rPr>
        <w:t>Cafurna</w:t>
      </w:r>
      <w:proofErr w:type="spellEnd"/>
      <w:r w:rsidR="00AD5B06" w:rsidRPr="00A636BF">
        <w:rPr>
          <w:rFonts w:eastAsia="Times New Roman"/>
          <w:color w:val="000000"/>
        </w:rPr>
        <w:t xml:space="preserve"> / Povoado de Gado Bravo</w:t>
      </w:r>
      <w:r w:rsidR="00B43DA5" w:rsidRPr="00A636BF">
        <w:t xml:space="preserve">, que equivale a </w:t>
      </w:r>
      <w:r w:rsidR="00AD5B06" w:rsidRPr="00A636BF">
        <w:rPr>
          <w:rFonts w:eastAsia="Times New Roman"/>
          <w:color w:val="000000"/>
        </w:rPr>
        <w:t>49,66</w:t>
      </w:r>
      <w:r w:rsidR="00B43DA5" w:rsidRPr="00A636BF">
        <w:t xml:space="preserve"> km diários perfazendo um total estimado</w:t>
      </w:r>
      <w:r w:rsidR="004505CF" w:rsidRPr="00A636BF">
        <w:t xml:space="preserve"> </w:t>
      </w:r>
      <w:r w:rsidR="00B43DA5" w:rsidRPr="00A636BF">
        <w:t xml:space="preserve">de </w:t>
      </w:r>
      <w:r w:rsidR="00AD5B06" w:rsidRPr="00A636BF">
        <w:rPr>
          <w:rFonts w:eastAsia="Times New Roman"/>
          <w:color w:val="000000"/>
        </w:rPr>
        <w:t>993,29</w:t>
      </w:r>
      <w:r w:rsidR="00B43DA5" w:rsidRPr="00A636BF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C208CA">
        <w:rPr>
          <w:b/>
        </w:rPr>
        <w:t>R$</w:t>
      </w:r>
      <w:r w:rsidR="00500FE7" w:rsidRPr="00C208CA">
        <w:rPr>
          <w:b/>
        </w:rPr>
        <w:t xml:space="preserve"> </w:t>
      </w:r>
      <w:r w:rsidR="00AD5B06" w:rsidRPr="00C208CA">
        <w:rPr>
          <w:b/>
          <w:color w:val="000000"/>
        </w:rPr>
        <w:t>6.067,20</w:t>
      </w:r>
      <w:r w:rsidRPr="00C208CA">
        <w:rPr>
          <w:b/>
        </w:rPr>
        <w:t xml:space="preserve"> (</w:t>
      </w:r>
      <w:r w:rsidR="00AD5B06" w:rsidRPr="00C208CA">
        <w:rPr>
          <w:b/>
        </w:rPr>
        <w:t>Seis</w:t>
      </w:r>
      <w:r w:rsidR="00CF1502" w:rsidRPr="00C208CA">
        <w:rPr>
          <w:b/>
        </w:rPr>
        <w:t xml:space="preserve"> mil, </w:t>
      </w:r>
      <w:r w:rsidR="00AD5B06" w:rsidRPr="00C208CA">
        <w:rPr>
          <w:b/>
        </w:rPr>
        <w:t>sessenta e sete</w:t>
      </w:r>
      <w:r w:rsidR="00AF58E8" w:rsidRPr="00C208CA">
        <w:rPr>
          <w:b/>
        </w:rPr>
        <w:t xml:space="preserve"> </w:t>
      </w:r>
      <w:r w:rsidR="00500FE7" w:rsidRPr="00C208CA">
        <w:rPr>
          <w:b/>
        </w:rPr>
        <w:t>reais</w:t>
      </w:r>
      <w:r w:rsidR="001F06CD" w:rsidRPr="00C208CA">
        <w:rPr>
          <w:b/>
        </w:rPr>
        <w:t xml:space="preserve"> e </w:t>
      </w:r>
      <w:r w:rsidR="00AD5B06" w:rsidRPr="00C208CA">
        <w:rPr>
          <w:b/>
        </w:rPr>
        <w:t>vinte</w:t>
      </w:r>
      <w:r w:rsidR="00AF58E8" w:rsidRPr="00C208CA">
        <w:rPr>
          <w:b/>
        </w:rPr>
        <w:t xml:space="preserve"> </w:t>
      </w:r>
      <w:r w:rsidR="001F06CD" w:rsidRPr="00C208CA">
        <w:rPr>
          <w:b/>
        </w:rPr>
        <w:t>centavos</w:t>
      </w:r>
      <w:r w:rsidRPr="00C208CA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D1260C">
        <w:t xml:space="preserve">14.1 – Com fulcro </w:t>
      </w:r>
      <w:r w:rsidRPr="00D1260C">
        <w:rPr>
          <w:color w:val="333333"/>
        </w:rPr>
        <w:t xml:space="preserve">no seu artigo 67, caput, da Lei 8.666/93, a </w:t>
      </w:r>
      <w:r w:rsidRPr="00D1260C">
        <w:t xml:space="preserve">fiscalização deste Contrato ficará a cargo do Servidor </w:t>
      </w:r>
      <w:r w:rsidR="00A636BF">
        <w:t>Adilson Rodrigues Costa</w:t>
      </w:r>
      <w:r w:rsidRPr="00D1260C">
        <w:t xml:space="preserve">, do qual </w:t>
      </w:r>
      <w:r w:rsidRPr="00D1260C">
        <w:rPr>
          <w:color w:val="333333"/>
        </w:rPr>
        <w:t>cuidará da execução do contrato, no estrito atendimento à especificidade do objeto</w:t>
      </w:r>
      <w:r w:rsidRPr="00D1260C">
        <w:rPr>
          <w:color w:val="333333"/>
          <w:spacing w:val="-8"/>
        </w:rPr>
        <w:t xml:space="preserve"> </w:t>
      </w:r>
      <w:r w:rsidRPr="00D1260C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D1260C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783CA9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783CA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783CA9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AD5B06" w:rsidRDefault="00AD5B06" w:rsidP="00500FE7">
            <w:pPr>
              <w:pStyle w:val="TableParagraph"/>
              <w:ind w:left="371"/>
              <w:jc w:val="center"/>
            </w:pPr>
            <w:r w:rsidRPr="00AD5B06">
              <w:t>Nilzo Lopes do Amaral</w:t>
            </w:r>
            <w:r w:rsidR="00313A2E" w:rsidRPr="00AD5B06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AD5B06">
              <w:t>320.317.265-87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783CA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D1260C" w:rsidP="00D1260C">
            <w:pPr>
              <w:pStyle w:val="TableParagraph"/>
              <w:ind w:left="1478" w:right="860" w:hanging="2"/>
              <w:jc w:val="center"/>
            </w:pPr>
            <w:r>
              <w:t xml:space="preserve">Adilson Rodrigues Costa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D1260C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08" w:rsidRDefault="00833408">
      <w:r>
        <w:separator/>
      </w:r>
    </w:p>
  </w:endnote>
  <w:endnote w:type="continuationSeparator" w:id="0">
    <w:p w:rsidR="00833408" w:rsidRDefault="008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783CA9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0266F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83CA9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08" w:rsidRDefault="00833408">
      <w:r>
        <w:separator/>
      </w:r>
    </w:p>
  </w:footnote>
  <w:footnote w:type="continuationSeparator" w:id="0">
    <w:p w:rsidR="00833408" w:rsidRDefault="0083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CA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66FA"/>
    <w:rsid w:val="001F06CD"/>
    <w:rsid w:val="001F4945"/>
    <w:rsid w:val="00217635"/>
    <w:rsid w:val="002838ED"/>
    <w:rsid w:val="00313A2E"/>
    <w:rsid w:val="004505CF"/>
    <w:rsid w:val="004563E0"/>
    <w:rsid w:val="004814F1"/>
    <w:rsid w:val="004B7E5A"/>
    <w:rsid w:val="004C4DD1"/>
    <w:rsid w:val="00500FE7"/>
    <w:rsid w:val="00522525"/>
    <w:rsid w:val="005B4791"/>
    <w:rsid w:val="005D3706"/>
    <w:rsid w:val="00607D9F"/>
    <w:rsid w:val="006B3CF8"/>
    <w:rsid w:val="006E602F"/>
    <w:rsid w:val="00783CA9"/>
    <w:rsid w:val="00833408"/>
    <w:rsid w:val="008900BC"/>
    <w:rsid w:val="009512F0"/>
    <w:rsid w:val="00980B20"/>
    <w:rsid w:val="00A101F1"/>
    <w:rsid w:val="00A636BF"/>
    <w:rsid w:val="00AD5B06"/>
    <w:rsid w:val="00AF58E8"/>
    <w:rsid w:val="00B43DA5"/>
    <w:rsid w:val="00B46ED3"/>
    <w:rsid w:val="00C17950"/>
    <w:rsid w:val="00C208CA"/>
    <w:rsid w:val="00C63D19"/>
    <w:rsid w:val="00C7355C"/>
    <w:rsid w:val="00CE605C"/>
    <w:rsid w:val="00CF1502"/>
    <w:rsid w:val="00D1260C"/>
    <w:rsid w:val="00D67AD2"/>
    <w:rsid w:val="00DA20D3"/>
    <w:rsid w:val="00DE2A6C"/>
    <w:rsid w:val="00DF5354"/>
    <w:rsid w:val="00E20496"/>
    <w:rsid w:val="00E64648"/>
    <w:rsid w:val="00E8313E"/>
    <w:rsid w:val="00EA6E37"/>
    <w:rsid w:val="00F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D1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0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12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0C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3897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10</cp:revision>
  <cp:lastPrinted>2019-04-01T14:02:00Z</cp:lastPrinted>
  <dcterms:created xsi:type="dcterms:W3CDTF">2019-03-24T14:20:00Z</dcterms:created>
  <dcterms:modified xsi:type="dcterms:W3CDTF">2019-04-01T14:06:00Z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