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7E2CD6">
        <w:t>053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4F07CC" w:rsidRPr="002A0B0F">
        <w:rPr>
          <w:b/>
        </w:rPr>
        <w:t>JOAQUIM FERNANDES NETO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8E2F1B" w:rsidRDefault="00B43DA5" w:rsidP="008E2F1B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8E2F1B">
        <w:t xml:space="preserve"> </w:t>
      </w:r>
      <w:bookmarkStart w:id="0" w:name="_GoBack"/>
      <w:bookmarkEnd w:id="0"/>
      <w:r w:rsidR="001543B9">
        <w:t>Rua Dois de Julho</w:t>
      </w:r>
      <w:r w:rsidR="00DE2A6C">
        <w:t xml:space="preserve">, </w:t>
      </w:r>
      <w:r w:rsidR="001543B9">
        <w:t>s/</w:t>
      </w:r>
      <w:r w:rsidR="00DE2A6C">
        <w:t>nº</w:t>
      </w:r>
      <w:r w:rsidR="001543B9">
        <w:t xml:space="preserve"> </w:t>
      </w:r>
      <w:r w:rsidR="00DE2A6C">
        <w:t>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4814F1">
        <w:t xml:space="preserve">, e do outro lado </w:t>
      </w:r>
      <w:r w:rsidR="001F06CD">
        <w:t>o</w:t>
      </w:r>
      <w:r w:rsidR="00607D9F">
        <w:t xml:space="preserve"> </w:t>
      </w:r>
      <w:r w:rsidR="00500FE7">
        <w:t xml:space="preserve">Sr. </w:t>
      </w:r>
      <w:r w:rsidR="004F07CC" w:rsidRPr="002A0B0F">
        <w:rPr>
          <w:b/>
        </w:rPr>
        <w:t>JOAQUIM FERNANDES NETO</w:t>
      </w:r>
      <w:r w:rsidR="004F07CC">
        <w:rPr>
          <w:b/>
        </w:rPr>
        <w:t>,</w:t>
      </w:r>
      <w:r w:rsidR="004F07CC" w:rsidRPr="002A0B0F">
        <w:rPr>
          <w:b/>
        </w:rPr>
        <w:t xml:space="preserve"> </w:t>
      </w:r>
      <w:r w:rsidR="004F07CC" w:rsidRPr="00E77FAF">
        <w:t>inscrito</w:t>
      </w:r>
      <w:r w:rsidR="004F07CC">
        <w:t xml:space="preserve"> no CPF</w:t>
      </w:r>
      <w:r w:rsidR="004F07CC" w:rsidRPr="007C2FD8">
        <w:t xml:space="preserve"> </w:t>
      </w:r>
      <w:r w:rsidR="004F07CC">
        <w:t xml:space="preserve">sob o </w:t>
      </w:r>
      <w:r w:rsidR="004F07CC" w:rsidRPr="007C2FD8">
        <w:t>n°</w:t>
      </w:r>
      <w:r w:rsidR="004F07CC">
        <w:t xml:space="preserve"> 182.867.288-23</w:t>
      </w:r>
      <w:r w:rsidR="00DE2A6C">
        <w:t>,</w:t>
      </w:r>
      <w:r w:rsidR="00E64648">
        <w:t xml:space="preserve"> </w:t>
      </w:r>
      <w:r w:rsidR="001543B9">
        <w:t xml:space="preserve">RG </w:t>
      </w:r>
      <w:r>
        <w:t>nº</w:t>
      </w:r>
      <w:r>
        <w:rPr>
          <w:spacing w:val="13"/>
        </w:rPr>
        <w:t xml:space="preserve"> </w:t>
      </w:r>
      <w:r w:rsidR="001543B9">
        <w:t>22.376.013-72</w:t>
      </w:r>
      <w:r w:rsidR="00024224">
        <w:t xml:space="preserve"> SSP/BA</w:t>
      </w:r>
      <w:r>
        <w:t>,</w:t>
      </w:r>
      <w:r>
        <w:rPr>
          <w:spacing w:val="14"/>
        </w:rPr>
        <w:t xml:space="preserve"> </w:t>
      </w:r>
      <w:r w:rsidR="00DE2A6C">
        <w:rPr>
          <w:spacing w:val="14"/>
        </w:rPr>
        <w:t xml:space="preserve">residente e domiciliada </w:t>
      </w:r>
      <w:r>
        <w:t>n</w:t>
      </w:r>
      <w:r w:rsidR="001543B9">
        <w:t>o</w:t>
      </w:r>
      <w:r>
        <w:rPr>
          <w:spacing w:val="10"/>
        </w:rPr>
        <w:t xml:space="preserve"> </w:t>
      </w:r>
      <w:r w:rsidR="001543B9">
        <w:t>Povoado de Paus Preto</w:t>
      </w:r>
      <w:r>
        <w:t>,</w:t>
      </w:r>
      <w:r>
        <w:rPr>
          <w:spacing w:val="11"/>
        </w:rPr>
        <w:t xml:space="preserve"> </w:t>
      </w:r>
      <w:r w:rsidR="001543B9">
        <w:rPr>
          <w:spacing w:val="11"/>
        </w:rPr>
        <w:t>s/</w:t>
      </w:r>
      <w:r>
        <w:t>nº</w:t>
      </w:r>
      <w:r w:rsidR="001543B9">
        <w:t xml:space="preserve">, </w:t>
      </w:r>
      <w:r>
        <w:t xml:space="preserve">Bairro  </w:t>
      </w:r>
      <w:r w:rsidR="001543B9">
        <w:t>Zona Rural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1543B9">
        <w:t>, d</w:t>
      </w:r>
      <w:r>
        <w:t xml:space="preserve">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6B3CF8" w:rsidRDefault="00B46ED3" w:rsidP="006B3CF8">
      <w:pPr>
        <w:ind w:left="284" w:right="311"/>
        <w:jc w:val="both"/>
        <w:rPr>
          <w:rFonts w:eastAsia="Times New Roman"/>
          <w:color w:val="000000"/>
          <w:sz w:val="20"/>
          <w:szCs w:val="20"/>
        </w:rPr>
      </w:pPr>
      <w:r>
        <w:t>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4F07CC" w:rsidRPr="00025F13">
        <w:t>VAN</w:t>
      </w:r>
      <w:r w:rsidR="00B43DA5" w:rsidRPr="00B46ED3">
        <w:t xml:space="preserve">, de placa policial </w:t>
      </w:r>
      <w:r w:rsidR="000E7863">
        <w:t>EMP 9793</w:t>
      </w:r>
      <w:r w:rsidR="00A149A8">
        <w:t>/SP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A149A8">
        <w:t>00</w:t>
      </w:r>
      <w:r w:rsidR="000E7863">
        <w:t>208453555</w:t>
      </w:r>
      <w:r w:rsidR="00B43DA5" w:rsidRPr="00B46ED3">
        <w:t xml:space="preserve"> que deverá transportar a quantidade diária de </w:t>
      </w:r>
      <w:r w:rsidR="004F07CC" w:rsidRPr="000E7863">
        <w:t>25</w:t>
      </w:r>
      <w:r w:rsidRPr="000E7863">
        <w:t xml:space="preserve"> </w:t>
      </w:r>
      <w:r w:rsidR="00B43DA5" w:rsidRPr="000E7863">
        <w:t xml:space="preserve">alunos referente à linha </w:t>
      </w:r>
      <w:proofErr w:type="gramStart"/>
      <w:r w:rsidR="00C7355C" w:rsidRPr="000E7863">
        <w:t>d</w:t>
      </w:r>
      <w:r w:rsidR="00AD5B06" w:rsidRPr="000E7863">
        <w:t>o</w:t>
      </w:r>
      <w:r w:rsidR="006B3CF8" w:rsidRPr="000E7863">
        <w:t xml:space="preserve"> </w:t>
      </w:r>
      <w:r w:rsidR="004F07CC" w:rsidRPr="000E7863">
        <w:rPr>
          <w:rFonts w:eastAsia="Times New Roman"/>
          <w:color w:val="000000"/>
        </w:rPr>
        <w:t>Malhada</w:t>
      </w:r>
      <w:proofErr w:type="gramEnd"/>
      <w:r w:rsidR="004F07CC" w:rsidRPr="000E7863">
        <w:rPr>
          <w:rFonts w:eastAsia="Times New Roman"/>
          <w:color w:val="000000"/>
        </w:rPr>
        <w:t xml:space="preserve"> Grande / Paus Preto /Espraiado /Povoado de Vesperina</w:t>
      </w:r>
      <w:r w:rsidR="00B43DA5" w:rsidRPr="000E7863">
        <w:t xml:space="preserve">, que equivale a </w:t>
      </w:r>
      <w:r w:rsidR="004F07CC" w:rsidRPr="000E7863">
        <w:rPr>
          <w:rFonts w:eastAsia="Times New Roman"/>
          <w:color w:val="000000"/>
        </w:rPr>
        <w:t>57,20</w:t>
      </w:r>
      <w:r w:rsidR="00B43DA5" w:rsidRPr="000E7863">
        <w:t xml:space="preserve"> km diários perfazendo um total estimado</w:t>
      </w:r>
      <w:r w:rsidR="001543B9" w:rsidRPr="000E7863">
        <w:t xml:space="preserve"> </w:t>
      </w:r>
      <w:r w:rsidR="00B43DA5" w:rsidRPr="000E7863">
        <w:t xml:space="preserve">de </w:t>
      </w:r>
      <w:r w:rsidR="004F07CC" w:rsidRPr="000E7863">
        <w:rPr>
          <w:rFonts w:eastAsia="Times New Roman"/>
          <w:color w:val="000000"/>
        </w:rPr>
        <w:t>1.144</w:t>
      </w:r>
      <w:r w:rsidR="00B43DA5" w:rsidRPr="000E7863">
        <w:t xml:space="preserve"> km</w:t>
      </w:r>
      <w:r w:rsidR="00B43DA5" w:rsidRPr="00B46ED3">
        <w:t xml:space="preserve"> nos </w:t>
      </w:r>
      <w:r>
        <w:t xml:space="preserve">20 </w:t>
      </w:r>
      <w:r w:rsidR="00B43DA5" w:rsidRPr="00B46ED3">
        <w:t>dias de aulas</w:t>
      </w:r>
      <w:r w:rsidR="00B43DA5" w:rsidRPr="006B3CF8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6B3CF8" w:rsidRDefault="006B3CF8" w:rsidP="006B3CF8">
      <w:pPr>
        <w:pStyle w:val="PargrafodaLista"/>
        <w:tabs>
          <w:tab w:val="left" w:pos="756"/>
        </w:tabs>
        <w:ind w:right="276"/>
      </w:pPr>
    </w:p>
    <w:p w:rsidR="004C4DD1" w:rsidRDefault="006B3CF8">
      <w:pPr>
        <w:pStyle w:val="Corpodetexto"/>
        <w:ind w:right="274"/>
      </w:pPr>
      <w:r>
        <w:t>1.4</w:t>
      </w:r>
      <w:r w:rsidR="00B43DA5">
        <w:t>. Para a ass</w:t>
      </w:r>
      <w:r w:rsidR="002838ED">
        <w:t xml:space="preserve">inatura do termo de contrato as licitantes </w:t>
      </w:r>
      <w:r w:rsidR="00B43DA5"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0E7863">
        <w:rPr>
          <w:b/>
        </w:rPr>
        <w:t>R$</w:t>
      </w:r>
      <w:r w:rsidR="00500FE7" w:rsidRPr="000E7863">
        <w:rPr>
          <w:b/>
        </w:rPr>
        <w:t xml:space="preserve"> </w:t>
      </w:r>
      <w:r w:rsidR="004F07CC" w:rsidRPr="000E7863">
        <w:rPr>
          <w:b/>
          <w:color w:val="000000"/>
        </w:rPr>
        <w:t>3.889,72</w:t>
      </w:r>
      <w:r w:rsidRPr="000E7863">
        <w:rPr>
          <w:b/>
        </w:rPr>
        <w:t xml:space="preserve"> (</w:t>
      </w:r>
      <w:r w:rsidR="004F07CC" w:rsidRPr="000E7863">
        <w:rPr>
          <w:b/>
        </w:rPr>
        <w:t>Três</w:t>
      </w:r>
      <w:r w:rsidR="00CF1502" w:rsidRPr="000E7863">
        <w:rPr>
          <w:b/>
        </w:rPr>
        <w:t xml:space="preserve"> mil, </w:t>
      </w:r>
      <w:r w:rsidR="004F07CC" w:rsidRPr="000E7863">
        <w:rPr>
          <w:b/>
        </w:rPr>
        <w:t xml:space="preserve">oitocentos e oitenta e nove </w:t>
      </w:r>
      <w:r w:rsidR="00500FE7" w:rsidRPr="000E7863">
        <w:rPr>
          <w:b/>
        </w:rPr>
        <w:t>reais</w:t>
      </w:r>
      <w:r w:rsidR="004F07CC" w:rsidRPr="000E7863">
        <w:rPr>
          <w:b/>
        </w:rPr>
        <w:t xml:space="preserve"> e setenta e dois centavos</w:t>
      </w:r>
      <w:r w:rsidRPr="000E7863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254C9F">
        <w:t xml:space="preserve">14.1 – Com fulcro </w:t>
      </w:r>
      <w:r w:rsidRPr="00254C9F">
        <w:rPr>
          <w:color w:val="333333"/>
        </w:rPr>
        <w:t xml:space="preserve">no seu artigo 67, caput, da Lei 8.666/93, a </w:t>
      </w:r>
      <w:r w:rsidRPr="00254C9F">
        <w:t xml:space="preserve">fiscalização deste Contrato ficará a cargo do Servidor </w:t>
      </w:r>
      <w:proofErr w:type="spellStart"/>
      <w:r w:rsidR="00254C9F">
        <w:t>Edjalma</w:t>
      </w:r>
      <w:proofErr w:type="spellEnd"/>
      <w:r w:rsidR="00254C9F">
        <w:t xml:space="preserve"> Cardoso de Souza</w:t>
      </w:r>
      <w:r w:rsidRPr="00254C9F">
        <w:t xml:space="preserve">, do qual </w:t>
      </w:r>
      <w:r w:rsidRPr="00254C9F">
        <w:rPr>
          <w:color w:val="333333"/>
        </w:rPr>
        <w:t>cuidará da execução do contrato, no estrito atendimento à especificidade do objeto</w:t>
      </w:r>
      <w:r w:rsidRPr="00254C9F">
        <w:rPr>
          <w:color w:val="333333"/>
          <w:spacing w:val="-8"/>
        </w:rPr>
        <w:t xml:space="preserve"> </w:t>
      </w:r>
      <w:r w:rsidRPr="00254C9F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254C9F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8E2F1B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8E2F1B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8E2F1B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313A2E" w:rsidRPr="004F07CC" w:rsidRDefault="004F07CC" w:rsidP="00500FE7">
            <w:pPr>
              <w:pStyle w:val="TableParagraph"/>
              <w:ind w:left="371"/>
              <w:jc w:val="center"/>
            </w:pPr>
            <w:r w:rsidRPr="004F07CC">
              <w:t>Joaquim Fernandes Neto</w:t>
            </w:r>
            <w:r w:rsidR="00313A2E" w:rsidRPr="004F07CC">
              <w:t xml:space="preserve"> 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4F07CC">
              <w:t>182.867.288-23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8E2F1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254C9F" w:rsidP="00254C9F">
            <w:pPr>
              <w:pStyle w:val="TableParagraph"/>
              <w:tabs>
                <w:tab w:val="left" w:pos="4260"/>
              </w:tabs>
              <w:ind w:left="1478" w:right="577" w:hanging="2"/>
              <w:jc w:val="center"/>
            </w:pPr>
            <w:proofErr w:type="spellStart"/>
            <w:r>
              <w:t>Edjalma</w:t>
            </w:r>
            <w:proofErr w:type="spellEnd"/>
            <w:r>
              <w:t xml:space="preserve"> Cardoso de Souza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254C9F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C4" w:rsidRDefault="00436FC4">
      <w:r>
        <w:separator/>
      </w:r>
    </w:p>
  </w:endnote>
  <w:endnote w:type="continuationSeparator" w:id="0">
    <w:p w:rsidR="00436FC4" w:rsidRDefault="004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8E2F1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style="mso-next-textbox:#Text Box 3" inset="0,0,0,0">
            <w:txbxContent>
              <w:p w:rsidR="004C4DD1" w:rsidRDefault="000266F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2F1B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C4" w:rsidRDefault="00436FC4">
      <w:r>
        <w:separator/>
      </w:r>
    </w:p>
  </w:footnote>
  <w:footnote w:type="continuationSeparator" w:id="0">
    <w:p w:rsidR="00436FC4" w:rsidRDefault="0043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F1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style="mso-next-textbox:#Text Box 4"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4224"/>
    <w:rsid w:val="00025F13"/>
    <w:rsid w:val="000266FA"/>
    <w:rsid w:val="000E7863"/>
    <w:rsid w:val="001543B9"/>
    <w:rsid w:val="001F06CD"/>
    <w:rsid w:val="001F4945"/>
    <w:rsid w:val="00254C9F"/>
    <w:rsid w:val="002838ED"/>
    <w:rsid w:val="00313A2E"/>
    <w:rsid w:val="00436FC4"/>
    <w:rsid w:val="004505CF"/>
    <w:rsid w:val="004814F1"/>
    <w:rsid w:val="004C4DD1"/>
    <w:rsid w:val="004E11A1"/>
    <w:rsid w:val="004F07CC"/>
    <w:rsid w:val="00500FE7"/>
    <w:rsid w:val="005B4791"/>
    <w:rsid w:val="00607D9F"/>
    <w:rsid w:val="00686C61"/>
    <w:rsid w:val="006B3CF8"/>
    <w:rsid w:val="006E602F"/>
    <w:rsid w:val="007A1412"/>
    <w:rsid w:val="007E2CD6"/>
    <w:rsid w:val="008E2F1B"/>
    <w:rsid w:val="009512F0"/>
    <w:rsid w:val="00980B20"/>
    <w:rsid w:val="00986F20"/>
    <w:rsid w:val="00A149A8"/>
    <w:rsid w:val="00AA66DD"/>
    <w:rsid w:val="00AD5B06"/>
    <w:rsid w:val="00AF58E8"/>
    <w:rsid w:val="00B43DA5"/>
    <w:rsid w:val="00B46ED3"/>
    <w:rsid w:val="00C17950"/>
    <w:rsid w:val="00C63D19"/>
    <w:rsid w:val="00C7355C"/>
    <w:rsid w:val="00CE605C"/>
    <w:rsid w:val="00CF1502"/>
    <w:rsid w:val="00D67AD2"/>
    <w:rsid w:val="00DE2A6C"/>
    <w:rsid w:val="00DF5354"/>
    <w:rsid w:val="00E64648"/>
    <w:rsid w:val="00E8313E"/>
    <w:rsid w:val="00F82948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FA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266FA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66FA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0266FA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0266FA"/>
  </w:style>
  <w:style w:type="paragraph" w:styleId="Cabealho">
    <w:name w:val="header"/>
    <w:basedOn w:val="Normal"/>
    <w:link w:val="CabealhoChar"/>
    <w:uiPriority w:val="99"/>
    <w:unhideWhenUsed/>
    <w:rsid w:val="00254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C9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54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C9F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3894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9</cp:revision>
  <cp:lastPrinted>2019-04-01T12:35:00Z</cp:lastPrinted>
  <dcterms:created xsi:type="dcterms:W3CDTF">2019-03-24T15:00:00Z</dcterms:created>
  <dcterms:modified xsi:type="dcterms:W3CDTF">2019-04-01T12:38:00Z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