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</w:t>
      </w:r>
      <w:r w:rsidR="006C6D02">
        <w:rPr>
          <w:rFonts w:ascii="Arial" w:hAnsi="Arial" w:cs="Arial"/>
          <w:b/>
          <w:sz w:val="20"/>
          <w:szCs w:val="20"/>
        </w:rPr>
        <w:t>RE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320378" w:rsidRPr="00320378">
        <w:rPr>
          <w:rFonts w:ascii="Arial" w:hAnsi="Arial" w:cs="Arial"/>
          <w:b/>
          <w:sz w:val="20"/>
          <w:szCs w:val="20"/>
        </w:rPr>
        <w:t>0</w:t>
      </w:r>
      <w:r w:rsidR="00722576">
        <w:rPr>
          <w:rFonts w:ascii="Arial" w:hAnsi="Arial" w:cs="Arial"/>
          <w:b/>
          <w:sz w:val="20"/>
          <w:szCs w:val="20"/>
        </w:rPr>
        <w:t>01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722576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320378" w:rsidRPr="00320378">
        <w:rPr>
          <w:rStyle w:val="nfase"/>
          <w:rFonts w:ascii="Arial" w:hAnsi="Arial" w:cs="Arial"/>
          <w:sz w:val="20"/>
        </w:rPr>
        <w:t>0</w:t>
      </w:r>
      <w:r w:rsidR="00722576">
        <w:rPr>
          <w:rStyle w:val="nfase"/>
          <w:rFonts w:ascii="Arial" w:hAnsi="Arial" w:cs="Arial"/>
          <w:sz w:val="20"/>
        </w:rPr>
        <w:t>01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722576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722576" w:rsidRPr="008D720E">
        <w:rPr>
          <w:rFonts w:ascii="Arial" w:hAnsi="Arial" w:cs="Arial"/>
          <w:b/>
          <w:bCs/>
          <w:sz w:val="20"/>
        </w:rPr>
        <w:t xml:space="preserve">aquisição de materiais esportivos a serem utilizados em eventos esportivos, de lazer, serviços </w:t>
      </w:r>
      <w:proofErr w:type="spellStart"/>
      <w:r w:rsidR="00722576" w:rsidRPr="008D720E">
        <w:rPr>
          <w:rFonts w:ascii="Arial" w:hAnsi="Arial" w:cs="Arial"/>
          <w:b/>
          <w:bCs/>
          <w:sz w:val="20"/>
        </w:rPr>
        <w:t>socioassistenciais</w:t>
      </w:r>
      <w:proofErr w:type="spellEnd"/>
      <w:r w:rsidR="00722576" w:rsidRPr="008D720E">
        <w:rPr>
          <w:rFonts w:ascii="Arial" w:hAnsi="Arial" w:cs="Arial"/>
          <w:b/>
          <w:bCs/>
          <w:sz w:val="20"/>
        </w:rPr>
        <w:t>, programas, conselhos e atividades desportivas desenvolvidas pelos profissionais da educação, destinadas a atender às diversas secretarias do município de Riacho de Santana-BA</w:t>
      </w:r>
      <w:r w:rsidR="00722576">
        <w:rPr>
          <w:rFonts w:ascii="Arial" w:hAnsi="Arial" w:cs="Arial"/>
          <w:b/>
          <w:sz w:val="20"/>
        </w:rPr>
        <w:t>, do tipo menor preço global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6C6D02" w:rsidRPr="006C6D02">
        <w:rPr>
          <w:rStyle w:val="nfase"/>
          <w:rFonts w:ascii="Arial" w:hAnsi="Arial" w:cs="Arial"/>
          <w:sz w:val="20"/>
        </w:rPr>
        <w:t>Rea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722576">
        <w:rPr>
          <w:rStyle w:val="nfase"/>
          <w:rFonts w:ascii="Arial" w:hAnsi="Arial" w:cs="Arial"/>
          <w:sz w:val="20"/>
        </w:rPr>
        <w:t>15</w:t>
      </w:r>
      <w:r w:rsidRPr="00BE617D">
        <w:rPr>
          <w:rStyle w:val="nfase"/>
          <w:rFonts w:ascii="Arial" w:hAnsi="Arial" w:cs="Arial"/>
          <w:sz w:val="20"/>
        </w:rPr>
        <w:t>/</w:t>
      </w:r>
      <w:r w:rsidR="00320378" w:rsidRPr="00BE617D">
        <w:rPr>
          <w:rStyle w:val="nfase"/>
          <w:rFonts w:ascii="Arial" w:hAnsi="Arial" w:cs="Arial"/>
          <w:sz w:val="20"/>
        </w:rPr>
        <w:t>0</w:t>
      </w:r>
      <w:r w:rsidR="00722576">
        <w:rPr>
          <w:rStyle w:val="nfase"/>
          <w:rFonts w:ascii="Arial" w:hAnsi="Arial" w:cs="Arial"/>
          <w:sz w:val="20"/>
        </w:rPr>
        <w:t>2</w:t>
      </w:r>
      <w:r w:rsidR="00341B90" w:rsidRPr="00BE617D">
        <w:rPr>
          <w:rStyle w:val="nfase"/>
          <w:rFonts w:ascii="Arial" w:hAnsi="Arial" w:cs="Arial"/>
          <w:sz w:val="20"/>
        </w:rPr>
        <w:t>/201</w:t>
      </w:r>
      <w:r w:rsidR="00722576">
        <w:rPr>
          <w:rStyle w:val="nfase"/>
          <w:rFonts w:ascii="Arial" w:hAnsi="Arial" w:cs="Arial"/>
          <w:sz w:val="20"/>
        </w:rPr>
        <w:t>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64890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264890">
        <w:rPr>
          <w:rStyle w:val="nfase"/>
          <w:rFonts w:ascii="Arial" w:hAnsi="Arial" w:cs="Arial"/>
          <w:sz w:val="20"/>
        </w:rPr>
        <w:t>30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722576">
        <w:rPr>
          <w:rStyle w:val="nfase"/>
          <w:rFonts w:ascii="Arial" w:hAnsi="Arial" w:cs="Arial"/>
          <w:b w:val="0"/>
          <w:sz w:val="20"/>
          <w:szCs w:val="20"/>
        </w:rPr>
        <w:t>30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722576">
        <w:rPr>
          <w:rStyle w:val="nfase"/>
          <w:rFonts w:ascii="Arial" w:hAnsi="Arial" w:cs="Arial"/>
          <w:b w:val="0"/>
          <w:sz w:val="20"/>
          <w:szCs w:val="20"/>
        </w:rPr>
        <w:t xml:space="preserve">Janeiro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722576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20378" w:rsidRDefault="00722576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Isabela Fernandes Sena</w:t>
      </w:r>
      <w:bookmarkStart w:id="0" w:name="_GoBack"/>
      <w:bookmarkEnd w:id="0"/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22576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2</cp:revision>
  <cp:lastPrinted>2018-09-19T12:41:00Z</cp:lastPrinted>
  <dcterms:created xsi:type="dcterms:W3CDTF">2019-01-30T12:00:00Z</dcterms:created>
  <dcterms:modified xsi:type="dcterms:W3CDTF">2019-01-30T12:00:00Z</dcterms:modified>
</cp:coreProperties>
</file>